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50" w:rsidRDefault="00931050" w:rsidP="0093105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 w:eastAsia="ko-KR"/>
        </w:rPr>
        <w:t>10</w:t>
      </w:r>
      <w:r w:rsidRPr="001C66A7">
        <w:rPr>
          <w:rFonts w:ascii="Times New Roman" w:hAnsi="Times New Roman"/>
          <w:b/>
          <w:sz w:val="24"/>
          <w:szCs w:val="24"/>
          <w:lang w:val="kk-KZ" w:eastAsia="ko-KR"/>
        </w:rPr>
        <w:t xml:space="preserve"> Тақырып.  Жеке табыс салығы</w:t>
      </w:r>
    </w:p>
    <w:p w:rsidR="00931050" w:rsidRPr="001C66A7" w:rsidRDefault="00931050" w:rsidP="00931050">
      <w:pPr>
        <w:spacing w:after="0" w:line="240" w:lineRule="auto"/>
        <w:ind w:firstLine="360"/>
        <w:jc w:val="center"/>
        <w:rPr>
          <w:rFonts w:ascii="Times New Roman" w:hAnsi="Times New Roman"/>
          <w:i/>
          <w:sz w:val="24"/>
          <w:szCs w:val="24"/>
          <w:lang w:val="kk-KZ" w:eastAsia="ko-KR"/>
        </w:rPr>
      </w:pPr>
    </w:p>
    <w:p w:rsidR="00931050" w:rsidRPr="001C66A7" w:rsidRDefault="00931050" w:rsidP="00931050">
      <w:pPr>
        <w:pStyle w:val="2"/>
        <w:spacing w:after="0" w:line="240" w:lineRule="auto"/>
        <w:jc w:val="both"/>
        <w:rPr>
          <w:lang w:val="kk-KZ"/>
        </w:rPr>
      </w:pPr>
      <w:r>
        <w:rPr>
          <w:b/>
          <w:lang w:val="kk-KZ"/>
        </w:rPr>
        <w:t xml:space="preserve">       </w:t>
      </w:r>
      <w:r w:rsidRPr="005542DA">
        <w:rPr>
          <w:b/>
          <w:lang w:val="kk-KZ"/>
        </w:rPr>
        <w:t>Лекция мақсаты</w:t>
      </w:r>
      <w:r>
        <w:rPr>
          <w:lang w:val="kk-KZ"/>
        </w:rPr>
        <w:t>: Ж</w:t>
      </w:r>
      <w:r w:rsidRPr="001C66A7">
        <w:rPr>
          <w:lang w:val="kk-KZ"/>
        </w:rPr>
        <w:t>еке табыс салығының  экономикалық мәнін және салық жүйесіндегі ролін түсіндіру.</w:t>
      </w:r>
    </w:p>
    <w:p w:rsidR="00931050" w:rsidRPr="005542DA" w:rsidRDefault="00931050" w:rsidP="00931050">
      <w:pPr>
        <w:pStyle w:val="2"/>
        <w:spacing w:after="0" w:line="240" w:lineRule="auto"/>
        <w:jc w:val="both"/>
        <w:rPr>
          <w:b/>
          <w:lang w:val="kk-KZ"/>
        </w:rPr>
      </w:pPr>
      <w:r>
        <w:rPr>
          <w:b/>
          <w:lang w:val="kk-KZ"/>
        </w:rPr>
        <w:t xml:space="preserve">      </w:t>
      </w:r>
      <w:r w:rsidRPr="005542DA">
        <w:rPr>
          <w:b/>
          <w:lang w:val="kk-KZ"/>
        </w:rPr>
        <w:t>Лекция сұрақтары:</w:t>
      </w:r>
    </w:p>
    <w:p w:rsidR="00931050" w:rsidRDefault="00931050" w:rsidP="00931050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1C66A7">
        <w:rPr>
          <w:rFonts w:ascii="Times New Roman" w:hAnsi="Times New Roman"/>
          <w:sz w:val="24"/>
          <w:szCs w:val="24"/>
          <w:lang w:val="kk-KZ"/>
        </w:rPr>
        <w:t xml:space="preserve">Азаматтардың табысына  салық салу жүйесінің эволюциясы және  экономикалық мазмұны. </w:t>
      </w:r>
    </w:p>
    <w:p w:rsidR="00931050" w:rsidRDefault="00931050" w:rsidP="00931050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1C66A7">
        <w:rPr>
          <w:rFonts w:ascii="Times New Roman" w:hAnsi="Times New Roman"/>
          <w:sz w:val="24"/>
          <w:szCs w:val="24"/>
          <w:lang w:val="kk-KZ"/>
        </w:rPr>
        <w:t xml:space="preserve">  Қазақстандағы жеке табыс салығы және оның дамуы. </w:t>
      </w:r>
    </w:p>
    <w:p w:rsidR="00931050" w:rsidRDefault="00931050" w:rsidP="00931050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1C66A7">
        <w:rPr>
          <w:rFonts w:ascii="Times New Roman" w:hAnsi="Times New Roman"/>
          <w:sz w:val="24"/>
          <w:szCs w:val="24"/>
          <w:lang w:val="kk-KZ"/>
        </w:rPr>
        <w:t xml:space="preserve"> Төлем көзінен салық салынатын  жеке тұлғалардың  салықты   төлеу тәртібі және есептеу ерекшеліктері</w:t>
      </w:r>
    </w:p>
    <w:p w:rsidR="00931050" w:rsidRPr="005542DA" w:rsidRDefault="00931050" w:rsidP="00931050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5542DA">
        <w:rPr>
          <w:rFonts w:ascii="Times New Roman" w:hAnsi="Times New Roman"/>
          <w:b/>
          <w:sz w:val="24"/>
          <w:szCs w:val="24"/>
          <w:lang w:val="kk-KZ" w:eastAsia="ko-KR"/>
        </w:rPr>
        <w:t>Лекция мазмұны:</w:t>
      </w:r>
    </w:p>
    <w:p w:rsidR="00931050" w:rsidRPr="001C66A7" w:rsidRDefault="00931050" w:rsidP="0093105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1C66A7">
        <w:rPr>
          <w:rFonts w:ascii="Times New Roman" w:hAnsi="Times New Roman"/>
          <w:sz w:val="24"/>
          <w:szCs w:val="24"/>
          <w:lang w:val="kk-KZ" w:eastAsia="ko-KR"/>
        </w:rPr>
        <w:t>Бұл салық</w:t>
      </w:r>
      <w:r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1C66A7">
        <w:rPr>
          <w:rFonts w:ascii="Times New Roman" w:hAnsi="Times New Roman"/>
          <w:sz w:val="24"/>
          <w:szCs w:val="24"/>
          <w:lang w:val="kk-KZ" w:eastAsia="ko-KR"/>
        </w:rPr>
        <w:t xml:space="preserve"> бойынша </w:t>
      </w:r>
      <w:r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1C66A7">
        <w:rPr>
          <w:rFonts w:ascii="Times New Roman" w:hAnsi="Times New Roman"/>
          <w:sz w:val="24"/>
          <w:szCs w:val="24"/>
          <w:lang w:val="kk-KZ" w:eastAsia="ko-KR"/>
        </w:rPr>
        <w:t xml:space="preserve">қаражаттардың </w:t>
      </w:r>
      <w:r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1C66A7">
        <w:rPr>
          <w:rFonts w:ascii="Times New Roman" w:hAnsi="Times New Roman"/>
          <w:sz w:val="24"/>
          <w:szCs w:val="24"/>
          <w:lang w:val="kk-KZ" w:eastAsia="ko-KR"/>
        </w:rPr>
        <w:t xml:space="preserve">түсімі </w:t>
      </w:r>
      <w:r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1C66A7">
        <w:rPr>
          <w:rFonts w:ascii="Times New Roman" w:hAnsi="Times New Roman"/>
          <w:sz w:val="24"/>
          <w:szCs w:val="24"/>
          <w:lang w:val="kk-KZ" w:eastAsia="ko-KR"/>
        </w:rPr>
        <w:t>барлық салық төлемдерінің 9% алады. Салық салу обьектілері бар жеке тұлғалар жеке табыс салығын төлеушілер болып есептеледі.Салық салу обьектісі төлем көзінен салық салынатын табыстар және төлем көзінен салынбайтын табыстар болып саналады.</w:t>
      </w:r>
    </w:p>
    <w:p w:rsidR="00264493" w:rsidRDefault="00931050" w:rsidP="002644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1C66A7">
        <w:rPr>
          <w:rFonts w:ascii="Times New Roman" w:hAnsi="Times New Roman"/>
          <w:sz w:val="24"/>
          <w:szCs w:val="24"/>
          <w:lang w:val="kk-KZ" w:eastAsia="ko-KR"/>
        </w:rPr>
        <w:t xml:space="preserve">   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eastAsia="ko-KR"/>
        </w:rPr>
        <w:t xml:space="preserve">Жеке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табыс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салығы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классикалық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түрі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.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С.Г.Пепеляевтің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айтуы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бойынша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«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жеке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табыс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салығы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басқа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салықтарға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қарағанда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жас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» —  </w:t>
      </w:r>
      <w:proofErr w:type="spellStart"/>
      <w:proofErr w:type="gramStart"/>
      <w:r w:rsidRPr="00264493">
        <w:rPr>
          <w:rFonts w:ascii="Times New Roman" w:hAnsi="Times New Roman"/>
          <w:sz w:val="24"/>
          <w:szCs w:val="24"/>
          <w:lang w:eastAsia="ko-KR"/>
        </w:rPr>
        <w:t>деп</w:t>
      </w:r>
      <w:proofErr w:type="spellEnd"/>
      <w:proofErr w:type="gram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есептейді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>.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Бұл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ең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танымал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және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кең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тараған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түрі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.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Ең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алғаш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рет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Англияда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1798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пайда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болған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бұл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тү</w:t>
      </w:r>
      <w:proofErr w:type="gramStart"/>
      <w:r w:rsidRPr="00264493">
        <w:rPr>
          <w:rFonts w:ascii="Times New Roman" w:hAnsi="Times New Roman"/>
          <w:sz w:val="24"/>
          <w:szCs w:val="24"/>
          <w:lang w:eastAsia="ko-KR"/>
        </w:rPr>
        <w:t>р</w:t>
      </w:r>
      <w:proofErr w:type="gramEnd"/>
      <w:r w:rsidRPr="00264493">
        <w:rPr>
          <w:rFonts w:ascii="Times New Roman" w:hAnsi="Times New Roman"/>
          <w:sz w:val="24"/>
          <w:szCs w:val="24"/>
          <w:lang w:eastAsia="ko-KR"/>
        </w:rPr>
        <w:t>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Наполеонға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қарсы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соғыста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қаржыландыру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мақсатында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енгізіліп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, 1842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жылдан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бастап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ағылшынның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жүйесінде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тұрақты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түрде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орын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алды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. 1965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жылға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дейін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табыс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салығын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proofErr w:type="gramStart"/>
      <w:r w:rsidRPr="00264493">
        <w:rPr>
          <w:rFonts w:ascii="Times New Roman" w:hAnsi="Times New Roman"/>
          <w:sz w:val="24"/>
          <w:szCs w:val="24"/>
          <w:lang w:eastAsia="ko-KR"/>
        </w:rPr>
        <w:t>заңды</w:t>
      </w:r>
      <w:proofErr w:type="spellEnd"/>
      <w:proofErr w:type="gram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және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жеке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тұлғалардың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барлығы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төледі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>. 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gramStart"/>
      <w:r w:rsidRPr="00264493">
        <w:rPr>
          <w:rFonts w:ascii="Times New Roman" w:hAnsi="Times New Roman"/>
          <w:sz w:val="24"/>
          <w:szCs w:val="24"/>
          <w:lang w:eastAsia="ko-KR"/>
        </w:rPr>
        <w:t xml:space="preserve">Ал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ең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ал</w:t>
      </w:r>
      <w:proofErr w:type="gramEnd"/>
      <w:r w:rsidRPr="00264493">
        <w:rPr>
          <w:rFonts w:ascii="Times New Roman" w:hAnsi="Times New Roman"/>
          <w:sz w:val="24"/>
          <w:szCs w:val="24"/>
          <w:lang w:eastAsia="ko-KR"/>
        </w:rPr>
        <w:t>ғаш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рет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Қазақстан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Республикасында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жеке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табыс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салығының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заңдылығы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264493">
        <w:rPr>
          <w:rFonts w:ascii="Times New Roman" w:hAnsi="Times New Roman"/>
          <w:sz w:val="24"/>
          <w:szCs w:val="24"/>
          <w:lang w:eastAsia="ko-KR"/>
        </w:rPr>
        <w:t xml:space="preserve">1991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жылдың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24-і 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желтоқсанында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енгізілді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>.</w:t>
      </w:r>
    </w:p>
    <w:p w:rsid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264493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b/>
          <w:sz w:val="24"/>
          <w:szCs w:val="24"/>
          <w:lang w:val="kk-KZ" w:eastAsia="ko-KR"/>
        </w:rPr>
        <w:t>Жеке табыс салығы басқа да салықтар сияқты көптеген сипаттамасы бар: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Мемлекеттен басқа, салықты еш кім алалмайды. Салықты енгізуде мемлекет саяси орган ретіндегі субъектісі.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Салықты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бекіту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Парламентке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жүктелген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>.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– </w:t>
      </w:r>
      <w:proofErr w:type="spellStart"/>
      <w:proofErr w:type="gramStart"/>
      <w:r w:rsidRPr="00264493">
        <w:rPr>
          <w:rFonts w:ascii="Times New Roman" w:hAnsi="Times New Roman"/>
          <w:sz w:val="24"/>
          <w:szCs w:val="24"/>
          <w:lang w:eastAsia="ko-KR"/>
        </w:rPr>
        <w:t>ол</w:t>
      </w:r>
      <w:proofErr w:type="spellEnd"/>
      <w:proofErr w:type="gram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ақшалай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төлем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,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мемлект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алдындағы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борышы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. Жеке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табыс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салығы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proofErr w:type="gramStart"/>
      <w:r w:rsidRPr="00264493">
        <w:rPr>
          <w:rFonts w:ascii="Times New Roman" w:hAnsi="Times New Roman"/>
          <w:sz w:val="24"/>
          <w:szCs w:val="24"/>
          <w:lang w:eastAsia="ko-KR"/>
        </w:rPr>
        <w:t>бас</w:t>
      </w:r>
      <w:proofErr w:type="gramEnd"/>
      <w:r w:rsidRPr="00264493">
        <w:rPr>
          <w:rFonts w:ascii="Times New Roman" w:hAnsi="Times New Roman"/>
          <w:sz w:val="24"/>
          <w:szCs w:val="24"/>
          <w:lang w:eastAsia="ko-KR"/>
        </w:rPr>
        <w:t>қа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салықтардан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қарағанда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айырмашылығы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,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мемлекеттің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ерікті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зайымдары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,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яғни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төлеуші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ақшасын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мемлекетке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беруі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>.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eastAsia="ko-KR"/>
        </w:rPr>
        <w:t xml:space="preserve">Жеке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табыс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салығы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эквивалентсіз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төлем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болып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табылады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.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Экономикалық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тілмен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айтқанда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,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ақшалай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түрдегі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форма,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бірақ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қарам</w:t>
      </w:r>
      <w:proofErr w:type="gramStart"/>
      <w:r w:rsidRPr="00264493">
        <w:rPr>
          <w:rFonts w:ascii="Times New Roman" w:hAnsi="Times New Roman"/>
          <w:sz w:val="24"/>
          <w:szCs w:val="24"/>
          <w:lang w:eastAsia="ko-KR"/>
        </w:rPr>
        <w:t>а-</w:t>
      </w:r>
      <w:proofErr w:type="gramEnd"/>
      <w:r w:rsidRPr="00264493">
        <w:rPr>
          <w:rFonts w:ascii="Times New Roman" w:hAnsi="Times New Roman"/>
          <w:sz w:val="24"/>
          <w:szCs w:val="24"/>
          <w:lang w:eastAsia="ko-KR"/>
        </w:rPr>
        <w:t>қарсы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тауарлы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фолмасы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жоқ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айналыс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>.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</w:t>
      </w:r>
      <w:proofErr w:type="gramStart"/>
      <w:r w:rsidRPr="00264493">
        <w:rPr>
          <w:rFonts w:ascii="Times New Roman" w:hAnsi="Times New Roman"/>
          <w:sz w:val="24"/>
          <w:szCs w:val="24"/>
          <w:lang w:eastAsia="ko-KR"/>
        </w:rPr>
        <w:t>қ-</w:t>
      </w:r>
      <w:proofErr w:type="gramEnd"/>
      <w:r w:rsidRPr="00264493">
        <w:rPr>
          <w:rFonts w:ascii="Times New Roman" w:hAnsi="Times New Roman"/>
          <w:sz w:val="24"/>
          <w:szCs w:val="24"/>
          <w:lang w:eastAsia="ko-KR"/>
        </w:rPr>
        <w:t>Е.В.Пороховтың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айтуы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бойынша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“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тек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құқықтық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форма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түрінде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”-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дейді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,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яғни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салықты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қабылдау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үшін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мемлекет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заң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шығару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арқылы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құқықтық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актіні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Pr="00264493">
        <w:rPr>
          <w:rFonts w:ascii="Times New Roman" w:hAnsi="Times New Roman"/>
          <w:sz w:val="24"/>
          <w:szCs w:val="24"/>
          <w:lang w:eastAsia="ko-KR"/>
        </w:rPr>
        <w:t>қабылдауы</w:t>
      </w:r>
      <w:proofErr w:type="spellEnd"/>
      <w:r w:rsidRPr="00264493">
        <w:rPr>
          <w:rFonts w:ascii="Times New Roman" w:hAnsi="Times New Roman"/>
          <w:sz w:val="24"/>
          <w:szCs w:val="24"/>
          <w:lang w:eastAsia="ko-KR"/>
        </w:rPr>
        <w:t>.</w:t>
      </w:r>
    </w:p>
    <w:p w:rsid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Төлеушілер 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br/>
        <w:t>1. Жеке тұлғаның төлем көзінен және дербес салық салу кезіндегі салық салынатын кірісі түріндегі салық салу объектiлерi бар жеке тұлғалар жеке табыс салығын төлеушiлер болып табылады.</w:t>
      </w:r>
    </w:p>
    <w:p w:rsidR="00264493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2. Шаруа және фермерлік қожалықтар үшін арнаулы салық режимін қолданатын дара кәсіпкерлер осы арнаулы салық режимі қолданылатын қызметті жүзеге асырудан түсетін кірістер бойынша жеке табыс салығын төлеушілер болып табылмайды.</w:t>
      </w:r>
    </w:p>
    <w:p w:rsid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264493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b/>
          <w:sz w:val="24"/>
          <w:szCs w:val="24"/>
          <w:lang w:val="kk-KZ" w:eastAsia="ko-KR"/>
        </w:rPr>
        <w:t>Салық салу объектілері (СК 318-бап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>)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Мыналар 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>жеке табыс салығы салынатын объектілер болып табылады: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1) жеке тұлғаның төлем көзінен салық салынатын кірісі;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2) жек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е тұлғаның дербес салық салу кезіндегі салық салынатын кірісі.  </w:t>
      </w:r>
    </w:p>
    <w:p w:rsid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264493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b/>
          <w:sz w:val="24"/>
          <w:szCs w:val="24"/>
          <w:lang w:val="kk-KZ" w:eastAsia="ko-KR"/>
        </w:rPr>
        <w:t xml:space="preserve">            Салық мөлшерлемелері  (ҚР СК 320-бап)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1. Салық төлеушiнiң кірістеріне 10 пайыз мөлшерлеме бойынша салық салынады.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lastRenderedPageBreak/>
        <w:t>2. Қазақстан Республикасындағы көздерде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н алынған дивидендтер түрiндегi кірістерге 5 пайыз мөлшерлеме бойынша салық салынады. </w:t>
      </w:r>
    </w:p>
    <w:p w:rsid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Жеке тұлғаның жылдық кірісіне кіретін кірістер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 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Жеке тұлғаның жылдық кірісіне мынадай кірістерінің барлық түрі кіреді: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1) жұмыскердің кірісі, оның ішінде үй жұмыс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>керінің кірісі және резидент-еңбекші көшіп келушінің кірісі;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2) дара кәсіпкер, жеке практикамен айналысатын адам болып табылмайтын жеке тұлға алған, мүліктік кірістен басқа, тауарларды өткізуд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>ен, жұмыстарды орындаудан, қызметтерді көрсетуден түсетін кіріс;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3) жеке тұлға алған тауарлардың, орындалған жұмыстардың, көрсетілген қызметтердің құнын үшінші тұлғаның төлеуі түріндегі кіріс;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4) жеке тұлға алдындағы берешекті өтеу есебіне орындалған (көрсетілген) жұмыстар, қызметтер түріндегі кіріс;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5) өтеусіз алынға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н мүлік, оның ішінде жұмыстар, көрсетілетін қызметтер түріндегі кіріс; 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6) борышты кешіру түріндегі кіріс; 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7) есептен шығарылған айыппұлды, өсімпұлды және басқа да санкция түрлерін қоспағанда, борышкерге қойылатын талап мөлшерін азайту түріндегі кіріс;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8) репо операциялары бойынша сыйақы төлеу түріндегі кіріс;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9) зейнетақы төлемдері түріндегі кіріс;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10) дивиде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>ндтер, сыйақылар, ұтыстар түріндегі кіріс;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11) стипендия түріндегі кіріс;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12) жинақтаушы сақтандыру шарттары бойынша кіріс;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13) мүліктік кіріс;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14) </w:t>
      </w:r>
      <w:r w:rsidRPr="00264493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дара кәсіпкердің 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>кірісі;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15) жеке практикамен айналысатын адамның кірісі</w:t>
      </w:r>
    </w:p>
    <w:p w:rsid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341-бап. Кірісті түзету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 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1. Жеке тұлғаның салық салуға жататын кірістерінен мынадай кіріс түрлерi алып тасталады (бұдан әрі – кірісті түзету):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1) балаларға және асырауындағы адамдарға алынған алименттер;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2) жеке тұлғаларға Қазақстан Республикасының аумағында тіркелген екінші деңгейдегі банктердегі және қаржы нарығы мен қаржы ұйымдар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>ын реттеу, бақылау және қадағалау жөніндегі уәкілетті мемлекеттік органның лицензиясы негізінде банк операцияларының жекелеген түрлерiн жүзеге асыратын ұйымдардағы өздерінің салымдары (депозиттері) бойынша төленетiн сыйақылар;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3) борыштық бағалы қағаздар бойынша сыйақылар;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4) мемлекеттiк эмиссиялық бағалы қағаздар, агенттiк облигациялар бойынша сыйақылар;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5) мемлекеттiк эмиссиялық бағалы қағаздарды өткiзу кезінде құн өсiмiнен түсетін кірістер;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6) агенттiк облигацияларды өткiзу кезінде құн өсiмiнен түсетін к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>ірістер;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7) осындай дивидендтер мен сыйақылар есепке жазылған күнге Қазақстан Республикасының аумағында жұмыс істейтін қор биржасының ресми тізімінде болатын бағалы қағаздар бойынша дивидендте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р мен сыйақылар; 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8) бiр мезгiлде мынадай шарттар орындалған кездегі дивидендтер: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>дивидендтерді есепке жазу күніне салық төлеуші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 дивидендтер төленетін акцияларды немесе қатысу үлестерiн үш жылдан астам иеленеді;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lastRenderedPageBreak/>
        <w:t xml:space="preserve">дивидендтер төлейтін резидент-заңды тұлға дивидендтер төленетін кезең ішінде жер қойнауын пайдаланушы болып 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>табылмайды;</w:t>
      </w:r>
    </w:p>
    <w:p w:rsidR="00000000" w:rsidRPr="00264493" w:rsidRDefault="00264493" w:rsidP="002644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жер қойнауын пайдаланушылар (жер қойнауын пайдаланушы) болып табылатын тұлғалардың (тұлғаның) мүлкi дивидендтер төлейтін 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br/>
        <w:t>резидент-заңды тұлға активтерінің құнында дивидендтерді тө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t xml:space="preserve">леу күніне </w:t>
      </w:r>
      <w:r w:rsidRPr="00264493">
        <w:rPr>
          <w:rFonts w:ascii="Times New Roman" w:hAnsi="Times New Roman"/>
          <w:sz w:val="24"/>
          <w:szCs w:val="24"/>
          <w:lang w:val="kk-KZ" w:eastAsia="ko-KR"/>
        </w:rPr>
        <w:br/>
        <w:t xml:space="preserve">50 пайыздан аз болады. </w:t>
      </w:r>
    </w:p>
    <w:p w:rsidR="00264493" w:rsidRPr="00264493" w:rsidRDefault="00264493" w:rsidP="002644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931050" w:rsidRPr="008F21C3" w:rsidRDefault="00931050" w:rsidP="00931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Pr="008F21C3">
        <w:rPr>
          <w:rFonts w:ascii="Times New Roman" w:hAnsi="Times New Roman"/>
          <w:b/>
          <w:sz w:val="24"/>
          <w:szCs w:val="24"/>
          <w:lang w:val="kk-KZ"/>
        </w:rPr>
        <w:t>Өзіндік бақылауға арналған сұрақтар:</w:t>
      </w:r>
    </w:p>
    <w:p w:rsidR="00931050" w:rsidRPr="001C66A7" w:rsidRDefault="00931050" w:rsidP="009310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C66A7">
        <w:rPr>
          <w:rFonts w:ascii="Times New Roman" w:hAnsi="Times New Roman"/>
          <w:sz w:val="24"/>
          <w:szCs w:val="24"/>
          <w:lang w:val="kk-KZ" w:eastAsia="ko-KR"/>
        </w:rPr>
        <w:t>1</w:t>
      </w:r>
      <w:r>
        <w:rPr>
          <w:rFonts w:ascii="Times New Roman" w:hAnsi="Times New Roman"/>
          <w:sz w:val="24"/>
          <w:szCs w:val="24"/>
          <w:lang w:val="kk-KZ" w:eastAsia="ko-KR"/>
        </w:rPr>
        <w:t>.</w:t>
      </w:r>
      <w:r w:rsidRPr="001C66A7">
        <w:rPr>
          <w:rFonts w:ascii="Times New Roman" w:hAnsi="Times New Roman"/>
          <w:sz w:val="24"/>
          <w:szCs w:val="24"/>
          <w:lang w:val="kk-KZ"/>
        </w:rPr>
        <w:t xml:space="preserve"> Жеке табыс салығы: экономикалық мазмұны, құрылу принциптері мен қызметтерінің механизмі</w:t>
      </w:r>
    </w:p>
    <w:p w:rsidR="00931050" w:rsidRDefault="00931050" w:rsidP="009310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1C66A7">
        <w:rPr>
          <w:rFonts w:ascii="Times New Roman" w:hAnsi="Times New Roman"/>
          <w:sz w:val="24"/>
          <w:szCs w:val="24"/>
          <w:lang w:val="kk-KZ"/>
        </w:rPr>
        <w:t xml:space="preserve"> Төлем көзінен салық салынбайтын  табыстар және түрлері.  </w:t>
      </w:r>
    </w:p>
    <w:p w:rsidR="00931050" w:rsidRDefault="00931050" w:rsidP="009310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1C66A7">
        <w:rPr>
          <w:rFonts w:ascii="Times New Roman" w:hAnsi="Times New Roman"/>
          <w:sz w:val="24"/>
          <w:szCs w:val="24"/>
          <w:lang w:val="kk-KZ"/>
        </w:rPr>
        <w:t xml:space="preserve"> Жеке табыс салығы бойынша  декларация.   </w:t>
      </w:r>
    </w:p>
    <w:p w:rsidR="00931050" w:rsidRDefault="00931050" w:rsidP="00931050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1C66A7">
        <w:rPr>
          <w:rFonts w:ascii="Times New Roman" w:hAnsi="Times New Roman"/>
          <w:sz w:val="24"/>
          <w:szCs w:val="24"/>
          <w:lang w:val="kk-KZ"/>
        </w:rPr>
        <w:t xml:space="preserve">  Салық ставкалары.  Салық кезеңі. Төлем көзінен салық салынатын  </w:t>
      </w:r>
      <w:r w:rsidRPr="001C66A7">
        <w:rPr>
          <w:rFonts w:ascii="Times New Roman" w:hAnsi="Times New Roman"/>
          <w:lang w:val="kk-KZ"/>
        </w:rPr>
        <w:t xml:space="preserve"> табыстардың түрлеріне жалпы сипаттама.</w:t>
      </w:r>
    </w:p>
    <w:p w:rsidR="00931050" w:rsidRPr="00E85D17" w:rsidRDefault="00931050" w:rsidP="0093105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/>
          <w:lang w:val="kk-KZ"/>
        </w:rPr>
        <w:t>5.</w:t>
      </w:r>
      <w:r w:rsidRPr="001C66A7">
        <w:rPr>
          <w:rFonts w:ascii="Times New Roman" w:hAnsi="Times New Roman"/>
          <w:sz w:val="24"/>
          <w:szCs w:val="24"/>
          <w:lang w:val="kk-KZ"/>
        </w:rPr>
        <w:t xml:space="preserve"> Жеке тұлғаның  салық агентінен  алатын табысы</w:t>
      </w:r>
      <w:r w:rsidRPr="001C66A7">
        <w:rPr>
          <w:rFonts w:ascii="Times New Roman" w:hAnsi="Times New Roman"/>
          <w:lang w:val="kk-KZ"/>
        </w:rPr>
        <w:t>.</w:t>
      </w:r>
    </w:p>
    <w:bookmarkEnd w:id="0"/>
    <w:p w:rsidR="00C92254" w:rsidRPr="00931050" w:rsidRDefault="00C92254">
      <w:pPr>
        <w:rPr>
          <w:lang w:val="kk-KZ"/>
        </w:rPr>
      </w:pPr>
    </w:p>
    <w:sectPr w:rsidR="00C92254" w:rsidRPr="0093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314"/>
    <w:multiLevelType w:val="hybridMultilevel"/>
    <w:tmpl w:val="C526F6DC"/>
    <w:lvl w:ilvl="0" w:tplc="21A05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67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8C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6F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4C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6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A4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C6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151C28"/>
    <w:multiLevelType w:val="hybridMultilevel"/>
    <w:tmpl w:val="9DCAC69E"/>
    <w:lvl w:ilvl="0" w:tplc="4C6A0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0D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4B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AF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66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62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4D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04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82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9717D6"/>
    <w:multiLevelType w:val="hybridMultilevel"/>
    <w:tmpl w:val="2266EB72"/>
    <w:lvl w:ilvl="0" w:tplc="3120E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2A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E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9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A0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C6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02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2D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C0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9F3A0E"/>
    <w:multiLevelType w:val="hybridMultilevel"/>
    <w:tmpl w:val="F654A1B2"/>
    <w:lvl w:ilvl="0" w:tplc="C3506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2B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65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4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6F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8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67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D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A0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FF3EA6"/>
    <w:multiLevelType w:val="hybridMultilevel"/>
    <w:tmpl w:val="5E7E8C20"/>
    <w:lvl w:ilvl="0" w:tplc="29422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C7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0F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EA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C7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06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65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0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00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9105FD"/>
    <w:multiLevelType w:val="hybridMultilevel"/>
    <w:tmpl w:val="B2C47924"/>
    <w:lvl w:ilvl="0" w:tplc="DA323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0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81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4B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21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4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C1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2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2C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E964CC"/>
    <w:multiLevelType w:val="hybridMultilevel"/>
    <w:tmpl w:val="6BF40C6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1"/>
    <w:rsid w:val="00264493"/>
    <w:rsid w:val="00656CC1"/>
    <w:rsid w:val="00931050"/>
    <w:rsid w:val="00C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105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310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105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310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4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1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5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9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2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0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8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6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5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3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0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2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7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1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6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3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25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2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2022-01-18T19:31:00Z</dcterms:created>
  <dcterms:modified xsi:type="dcterms:W3CDTF">2022-03-30T04:13:00Z</dcterms:modified>
</cp:coreProperties>
</file>